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E7F098" w14:textId="032B3CA7" w:rsidR="00B53BA2" w:rsidRPr="001513B6" w:rsidRDefault="00000000" w:rsidP="001513B6">
      <w:pPr>
        <w:spacing w:line="360" w:lineRule="auto"/>
        <w:jc w:val="both"/>
        <w:rPr>
          <w:sz w:val="24"/>
          <w:szCs w:val="24"/>
        </w:rPr>
      </w:pPr>
      <w:r>
        <w:rPr>
          <w:noProof/>
        </w:rPr>
        <w:drawing>
          <wp:anchor distT="114300" distB="114300" distL="114300" distR="114300" simplePos="0" relativeHeight="251662336" behindDoc="0" locked="0" layoutInCell="1" hidden="0" allowOverlap="1" wp14:anchorId="51736E29" wp14:editId="5455FCAD">
            <wp:simplePos x="0" y="0"/>
            <wp:positionH relativeFrom="column">
              <wp:posOffset>19051</wp:posOffset>
            </wp:positionH>
            <wp:positionV relativeFrom="paragraph">
              <wp:posOffset>308162</wp:posOffset>
            </wp:positionV>
            <wp:extent cx="1366838" cy="2050256"/>
            <wp:effectExtent l="0" t="0" r="0" b="0"/>
            <wp:wrapSquare wrapText="bothSides" distT="114300" distB="114300" distL="114300" distR="11430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l="3318" r="3318"/>
                    <a:stretch>
                      <a:fillRect/>
                    </a:stretch>
                  </pic:blipFill>
                  <pic:spPr>
                    <a:xfrm>
                      <a:off x="0" y="0"/>
                      <a:ext cx="1366838" cy="2050256"/>
                    </a:xfrm>
                    <a:prstGeom prst="rect">
                      <a:avLst/>
                    </a:prstGeom>
                    <a:ln/>
                  </pic:spPr>
                </pic:pic>
              </a:graphicData>
            </a:graphic>
          </wp:anchor>
        </w:drawing>
      </w:r>
    </w:p>
    <w:p w14:paraId="3C05D93A" w14:textId="77777777" w:rsidR="00B53BA2" w:rsidRDefault="00000000">
      <w:pPr>
        <w:spacing w:after="160" w:line="256" w:lineRule="auto"/>
        <w:jc w:val="both"/>
        <w:rPr>
          <w:b/>
          <w:sz w:val="32"/>
          <w:szCs w:val="32"/>
        </w:rPr>
      </w:pPr>
      <w:r>
        <w:rPr>
          <w:b/>
          <w:sz w:val="32"/>
          <w:szCs w:val="32"/>
        </w:rPr>
        <w:t xml:space="preserve">Spatial </w:t>
      </w:r>
      <w:proofErr w:type="spellStart"/>
      <w:r>
        <w:rPr>
          <w:b/>
          <w:sz w:val="32"/>
          <w:szCs w:val="32"/>
        </w:rPr>
        <w:t>Multiomics</w:t>
      </w:r>
      <w:proofErr w:type="spellEnd"/>
      <w:r>
        <w:rPr>
          <w:b/>
          <w:sz w:val="32"/>
          <w:szCs w:val="32"/>
        </w:rPr>
        <w:t xml:space="preserve"> Reveal Pax9-dependent </w:t>
      </w:r>
      <w:proofErr w:type="spellStart"/>
      <w:r>
        <w:rPr>
          <w:b/>
          <w:sz w:val="32"/>
          <w:szCs w:val="32"/>
        </w:rPr>
        <w:t>Wnt</w:t>
      </w:r>
      <w:proofErr w:type="spellEnd"/>
      <w:r>
        <w:rPr>
          <w:b/>
          <w:sz w:val="32"/>
          <w:szCs w:val="32"/>
        </w:rPr>
        <w:t xml:space="preserve"> Signaling Fine Tunes Palatal Osteogenesis</w:t>
      </w:r>
    </w:p>
    <w:p w14:paraId="476B5006" w14:textId="77777777" w:rsidR="00B53BA2" w:rsidRDefault="00000000">
      <w:pPr>
        <w:spacing w:after="160" w:line="256" w:lineRule="auto"/>
        <w:jc w:val="both"/>
        <w:rPr>
          <w:sz w:val="24"/>
          <w:szCs w:val="24"/>
          <w:vertAlign w:val="superscript"/>
        </w:rPr>
      </w:pPr>
      <w:proofErr w:type="spellStart"/>
      <w:r>
        <w:rPr>
          <w:sz w:val="24"/>
          <w:szCs w:val="24"/>
        </w:rPr>
        <w:t>Jeremie</w:t>
      </w:r>
      <w:proofErr w:type="spellEnd"/>
      <w:r>
        <w:rPr>
          <w:sz w:val="24"/>
          <w:szCs w:val="24"/>
        </w:rPr>
        <w:t xml:space="preserve"> Oliver Piña</w:t>
      </w:r>
      <w:r>
        <w:rPr>
          <w:sz w:val="24"/>
          <w:szCs w:val="24"/>
          <w:vertAlign w:val="superscript"/>
        </w:rPr>
        <w:t>1,2</w:t>
      </w:r>
      <w:r>
        <w:rPr>
          <w:sz w:val="24"/>
          <w:szCs w:val="24"/>
        </w:rPr>
        <w:t xml:space="preserve">, </w:t>
      </w:r>
      <w:proofErr w:type="spellStart"/>
      <w:r>
        <w:rPr>
          <w:sz w:val="24"/>
          <w:szCs w:val="24"/>
        </w:rPr>
        <w:t>Resmi</w:t>
      </w:r>
      <w:proofErr w:type="spellEnd"/>
      <w:r>
        <w:rPr>
          <w:sz w:val="24"/>
          <w:szCs w:val="24"/>
        </w:rPr>
        <w:t xml:space="preserve"> Raju</w:t>
      </w:r>
      <w:r>
        <w:rPr>
          <w:sz w:val="24"/>
          <w:szCs w:val="24"/>
          <w:vertAlign w:val="superscript"/>
        </w:rPr>
        <w:t>1</w:t>
      </w:r>
      <w:r>
        <w:rPr>
          <w:sz w:val="24"/>
          <w:szCs w:val="24"/>
        </w:rPr>
        <w:t>, Daniela M. Roth</w:t>
      </w:r>
      <w:r>
        <w:rPr>
          <w:sz w:val="24"/>
          <w:szCs w:val="24"/>
          <w:vertAlign w:val="superscript"/>
        </w:rPr>
        <w:t>1</w:t>
      </w:r>
      <w:r>
        <w:rPr>
          <w:sz w:val="24"/>
          <w:szCs w:val="24"/>
        </w:rPr>
        <w:t>, Emma Wentworth Winchester</w:t>
      </w:r>
      <w:r>
        <w:rPr>
          <w:sz w:val="24"/>
          <w:szCs w:val="24"/>
          <w:vertAlign w:val="superscript"/>
        </w:rPr>
        <w:t>3</w:t>
      </w:r>
      <w:r>
        <w:rPr>
          <w:sz w:val="24"/>
          <w:szCs w:val="24"/>
        </w:rPr>
        <w:t>, Cameron Padilla</w:t>
      </w:r>
      <w:r>
        <w:rPr>
          <w:sz w:val="24"/>
          <w:szCs w:val="24"/>
          <w:vertAlign w:val="superscript"/>
        </w:rPr>
        <w:t>1</w:t>
      </w:r>
      <w:r>
        <w:rPr>
          <w:sz w:val="24"/>
          <w:szCs w:val="24"/>
        </w:rPr>
        <w:t>, James Iben</w:t>
      </w:r>
      <w:r>
        <w:rPr>
          <w:sz w:val="24"/>
          <w:szCs w:val="24"/>
          <w:vertAlign w:val="superscript"/>
        </w:rPr>
        <w:t>1</w:t>
      </w:r>
      <w:r>
        <w:rPr>
          <w:sz w:val="24"/>
          <w:szCs w:val="24"/>
        </w:rPr>
        <w:t>, Fabio R. Faucz</w:t>
      </w:r>
      <w:r>
        <w:rPr>
          <w:sz w:val="24"/>
          <w:szCs w:val="24"/>
          <w:vertAlign w:val="superscript"/>
        </w:rPr>
        <w:t>1</w:t>
      </w:r>
      <w:r>
        <w:rPr>
          <w:sz w:val="24"/>
          <w:szCs w:val="24"/>
        </w:rPr>
        <w:t>, Justin L. Cotney</w:t>
      </w:r>
      <w:r>
        <w:rPr>
          <w:sz w:val="24"/>
          <w:szCs w:val="24"/>
          <w:vertAlign w:val="superscript"/>
        </w:rPr>
        <w:t>3</w:t>
      </w:r>
      <w:r>
        <w:rPr>
          <w:sz w:val="24"/>
          <w:szCs w:val="24"/>
        </w:rPr>
        <w:t>, R.N. D’Souza</w:t>
      </w:r>
      <w:r>
        <w:rPr>
          <w:sz w:val="24"/>
          <w:szCs w:val="24"/>
          <w:vertAlign w:val="superscript"/>
        </w:rPr>
        <w:t>1,4</w:t>
      </w:r>
    </w:p>
    <w:p w14:paraId="7AE9DABB" w14:textId="77777777" w:rsidR="00B53BA2" w:rsidRDefault="00000000">
      <w:pPr>
        <w:spacing w:after="160" w:line="256" w:lineRule="auto"/>
        <w:jc w:val="both"/>
        <w:rPr>
          <w:i/>
          <w:sz w:val="24"/>
          <w:szCs w:val="24"/>
        </w:rPr>
      </w:pPr>
      <w:r>
        <w:rPr>
          <w:i/>
          <w:sz w:val="24"/>
          <w:szCs w:val="24"/>
          <w:vertAlign w:val="superscript"/>
        </w:rPr>
        <w:t>1</w:t>
      </w:r>
      <w:r>
        <w:rPr>
          <w:i/>
          <w:sz w:val="24"/>
          <w:szCs w:val="24"/>
        </w:rPr>
        <w:t xml:space="preserve"> Eunice Kennedy Shriver National Institute of Child Health and Human Development, National Institutes of Health, Bethesda, MD, USA </w:t>
      </w:r>
    </w:p>
    <w:p w14:paraId="78792EFE" w14:textId="77777777" w:rsidR="00B53BA2" w:rsidRDefault="00000000">
      <w:pPr>
        <w:spacing w:after="160" w:line="256" w:lineRule="auto"/>
        <w:jc w:val="both"/>
        <w:rPr>
          <w:i/>
          <w:sz w:val="24"/>
          <w:szCs w:val="24"/>
        </w:rPr>
      </w:pPr>
      <w:r>
        <w:rPr>
          <w:i/>
          <w:sz w:val="24"/>
          <w:szCs w:val="24"/>
          <w:vertAlign w:val="superscript"/>
        </w:rPr>
        <w:t>2</w:t>
      </w:r>
      <w:r>
        <w:rPr>
          <w:i/>
          <w:sz w:val="24"/>
          <w:szCs w:val="24"/>
        </w:rPr>
        <w:t xml:space="preserve"> Department of Biomedical Engineering, University of Utah, Salt Lake City, UT, USA</w:t>
      </w:r>
    </w:p>
    <w:p w14:paraId="5C0CB83D" w14:textId="77777777" w:rsidR="00B53BA2" w:rsidRDefault="00000000">
      <w:pPr>
        <w:spacing w:after="160" w:line="256" w:lineRule="auto"/>
        <w:jc w:val="both"/>
        <w:rPr>
          <w:i/>
          <w:sz w:val="24"/>
          <w:szCs w:val="24"/>
        </w:rPr>
      </w:pPr>
      <w:r>
        <w:rPr>
          <w:i/>
          <w:sz w:val="24"/>
          <w:szCs w:val="24"/>
          <w:vertAlign w:val="superscript"/>
        </w:rPr>
        <w:t>3</w:t>
      </w:r>
      <w:r>
        <w:rPr>
          <w:i/>
          <w:sz w:val="24"/>
          <w:szCs w:val="24"/>
        </w:rPr>
        <w:t xml:space="preserve"> University of Connecticut School of Dental Medicine, Farmington, CT, USA</w:t>
      </w:r>
    </w:p>
    <w:p w14:paraId="6F04E0A3" w14:textId="77777777" w:rsidR="00B53BA2" w:rsidRDefault="00000000">
      <w:pPr>
        <w:spacing w:after="160" w:line="256" w:lineRule="auto"/>
        <w:jc w:val="both"/>
        <w:rPr>
          <w:i/>
          <w:sz w:val="24"/>
          <w:szCs w:val="24"/>
        </w:rPr>
      </w:pPr>
      <w:r>
        <w:rPr>
          <w:i/>
          <w:sz w:val="24"/>
          <w:szCs w:val="24"/>
          <w:vertAlign w:val="superscript"/>
        </w:rPr>
        <w:t>4</w:t>
      </w:r>
      <w:r>
        <w:rPr>
          <w:i/>
          <w:sz w:val="24"/>
          <w:szCs w:val="24"/>
        </w:rPr>
        <w:t xml:space="preserve"> National Institute of Dental and Craniofacial Research, National Institutes of Health, Bethesda, MD, USA</w:t>
      </w:r>
    </w:p>
    <w:p w14:paraId="292ABD4F" w14:textId="77777777" w:rsidR="00B53BA2" w:rsidRDefault="00000000">
      <w:pPr>
        <w:spacing w:after="160" w:line="360" w:lineRule="auto"/>
        <w:jc w:val="both"/>
        <w:rPr>
          <w:sz w:val="24"/>
          <w:szCs w:val="24"/>
        </w:rPr>
      </w:pPr>
      <w:r>
        <w:rPr>
          <w:sz w:val="24"/>
          <w:szCs w:val="24"/>
        </w:rPr>
        <w:t xml:space="preserve">Multiple genetic and environmental etiologies contribute to the pathogenesis of cleft palate, which constitutes the most common among the inherited disorders of the craniofacial complex. Insights into the molecular mechanisms regulating osteogenic differentiation and patterning in the palate during embryogenesis are limited and needed for the development of innovative diagnostics and cures. Our recent work has defined the transcriptomic basis of murine secondary palate development using bulk, single-cell, and whole-transcriptome spatial RNA-sequencing technologies. This multimodal approach enabled the identification of several novel enriched genes at specific developmental time points. We then differentially analyzed and expanded this baselined palate development roadmap using high-throughput spatial RNA localization and single-cell </w:t>
      </w:r>
      <w:proofErr w:type="spellStart"/>
      <w:r>
        <w:rPr>
          <w:sz w:val="24"/>
          <w:szCs w:val="24"/>
        </w:rPr>
        <w:t>multiomic</w:t>
      </w:r>
      <w:proofErr w:type="spellEnd"/>
      <w:r>
        <w:rPr>
          <w:sz w:val="24"/>
          <w:szCs w:val="24"/>
        </w:rPr>
        <w:t xml:space="preserve"> technologies in comparison to a mouse genetic model organism engineered to lack the Pax9 transcription factor, critical for orchestrating </w:t>
      </w:r>
      <w:proofErr w:type="spellStart"/>
      <w:r>
        <w:rPr>
          <w:sz w:val="24"/>
          <w:szCs w:val="24"/>
        </w:rPr>
        <w:t>Wnt</w:t>
      </w:r>
      <w:proofErr w:type="spellEnd"/>
      <w:r>
        <w:rPr>
          <w:sz w:val="24"/>
          <w:szCs w:val="24"/>
        </w:rPr>
        <w:t xml:space="preserve">/β-catenin signaling in the secondary palate, without which results a consistent phenotype of cleft secondary palate. While prior research had identified upregulation of </w:t>
      </w:r>
      <w:proofErr w:type="spellStart"/>
      <w:r>
        <w:rPr>
          <w:sz w:val="24"/>
          <w:szCs w:val="24"/>
        </w:rPr>
        <w:t>Wnt</w:t>
      </w:r>
      <w:proofErr w:type="spellEnd"/>
      <w:r>
        <w:rPr>
          <w:sz w:val="24"/>
          <w:szCs w:val="24"/>
        </w:rPr>
        <w:t xml:space="preserve"> pathway modulators Dkk1 and Dkk2 in Pax9-/- palate mesenchyme, limitations of spatial resolution and technology restricted a more robust analysis. Here, we provide evidence of a distinct relationship between Pax9+ and osteogenic populations in the developing palate. Loss of</w:t>
      </w:r>
    </w:p>
    <w:p w14:paraId="36736687" w14:textId="547C047B" w:rsidR="00B53BA2" w:rsidRPr="001513B6" w:rsidRDefault="00000000" w:rsidP="001513B6">
      <w:pPr>
        <w:spacing w:after="160" w:line="360" w:lineRule="auto"/>
        <w:jc w:val="both"/>
        <w:rPr>
          <w:sz w:val="24"/>
          <w:szCs w:val="24"/>
        </w:rPr>
      </w:pPr>
      <w:r>
        <w:rPr>
          <w:sz w:val="24"/>
          <w:szCs w:val="24"/>
        </w:rPr>
        <w:lastRenderedPageBreak/>
        <w:t xml:space="preserve">Pax9 results in spatially restricted osteogenic domains bounded by Dkk2, which normally interfaces with Pax9 in the mesenchyme. Taken together, Pax9-dependent </w:t>
      </w:r>
      <w:proofErr w:type="spellStart"/>
      <w:r>
        <w:rPr>
          <w:sz w:val="24"/>
          <w:szCs w:val="24"/>
        </w:rPr>
        <w:t>Wnt</w:t>
      </w:r>
      <w:proofErr w:type="spellEnd"/>
      <w:r>
        <w:rPr>
          <w:sz w:val="24"/>
          <w:szCs w:val="24"/>
        </w:rPr>
        <w:t xml:space="preserve"> signaling modulators influence osteogenic programming during palate formation, potentially contributing to the observed cleft palate phenotype. These modulators may prove to be viable therapeutic targets to augment palatal bone during surgical or minimally invasive interventions for cleft palate. </w:t>
      </w:r>
    </w:p>
    <w:sectPr w:rsidR="00B53BA2" w:rsidRPr="001513B6">
      <w:headerReference w:type="even" r:id="rId7"/>
      <w:headerReference w:type="default" r:id="rId8"/>
      <w:footerReference w:type="even" r:id="rId9"/>
      <w:footerReference w:type="default" r:id="rId10"/>
      <w:headerReference w:type="first" r:id="rId11"/>
      <w:footerReference w:type="first" r:id="rId12"/>
      <w:pgSz w:w="12240" w:h="15840"/>
      <w:pgMar w:top="1656"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04749" w14:textId="77777777" w:rsidR="002D3293" w:rsidRDefault="002D3293">
      <w:pPr>
        <w:spacing w:line="240" w:lineRule="auto"/>
      </w:pPr>
      <w:r>
        <w:separator/>
      </w:r>
    </w:p>
  </w:endnote>
  <w:endnote w:type="continuationSeparator" w:id="0">
    <w:p w14:paraId="40DEE683" w14:textId="77777777" w:rsidR="002D3293" w:rsidRDefault="002D32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0EF51" w14:textId="77777777" w:rsidR="0076770C" w:rsidRDefault="00767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0C952" w14:textId="17569DDE" w:rsidR="00B53BA2" w:rsidRDefault="00000000">
    <w:pPr>
      <w:jc w:val="right"/>
    </w:pPr>
    <w:r>
      <w:fldChar w:fldCharType="begin"/>
    </w:r>
    <w:r>
      <w:instrText>PAGE</w:instrText>
    </w:r>
    <w:r>
      <w:fldChar w:fldCharType="separate"/>
    </w:r>
    <w:r w:rsidR="0076770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1FF69" w14:textId="77777777" w:rsidR="00B53BA2" w:rsidRDefault="00B53B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B9D88" w14:textId="77777777" w:rsidR="002D3293" w:rsidRDefault="002D3293">
      <w:pPr>
        <w:spacing w:line="240" w:lineRule="auto"/>
      </w:pPr>
      <w:r>
        <w:separator/>
      </w:r>
    </w:p>
  </w:footnote>
  <w:footnote w:type="continuationSeparator" w:id="0">
    <w:p w14:paraId="66174EB9" w14:textId="77777777" w:rsidR="002D3293" w:rsidRDefault="002D32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D7095" w14:textId="77777777" w:rsidR="0076770C" w:rsidRDefault="007677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7ADE" w14:textId="77777777" w:rsidR="00B53BA2" w:rsidRDefault="00B53BA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D5B1F" w14:textId="77777777" w:rsidR="00B53BA2" w:rsidRDefault="00000000">
    <w:pPr>
      <w:rPr>
        <w:i/>
        <w:sz w:val="28"/>
        <w:szCs w:val="28"/>
      </w:rPr>
    </w:pPr>
    <w:r>
      <w:rPr>
        <w:i/>
        <w:sz w:val="28"/>
        <w:szCs w:val="28"/>
      </w:rPr>
      <w:t xml:space="preserve">2024 </w:t>
    </w:r>
    <w:proofErr w:type="spellStart"/>
    <w:r>
      <w:rPr>
        <w:i/>
        <w:sz w:val="28"/>
        <w:szCs w:val="28"/>
      </w:rPr>
      <w:t>FaceBase</w:t>
    </w:r>
    <w:proofErr w:type="spellEnd"/>
    <w:r>
      <w:rPr>
        <w:i/>
        <w:sz w:val="28"/>
        <w:szCs w:val="28"/>
      </w:rPr>
      <w:t xml:space="preserve"> Community Forum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BA2"/>
    <w:rsid w:val="001513B6"/>
    <w:rsid w:val="002D3293"/>
    <w:rsid w:val="0076770C"/>
    <w:rsid w:val="00B53BA2"/>
    <w:rsid w:val="00D70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196E5"/>
  <w15:docId w15:val="{EC520A73-4D8F-304E-8DC4-25FC2A2D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6770C"/>
    <w:pPr>
      <w:tabs>
        <w:tab w:val="center" w:pos="4680"/>
        <w:tab w:val="right" w:pos="9360"/>
      </w:tabs>
      <w:spacing w:line="240" w:lineRule="auto"/>
    </w:pPr>
  </w:style>
  <w:style w:type="character" w:customStyle="1" w:styleId="HeaderChar">
    <w:name w:val="Header Char"/>
    <w:basedOn w:val="DefaultParagraphFont"/>
    <w:link w:val="Header"/>
    <w:uiPriority w:val="99"/>
    <w:rsid w:val="0076770C"/>
  </w:style>
  <w:style w:type="paragraph" w:styleId="Footer">
    <w:name w:val="footer"/>
    <w:basedOn w:val="Normal"/>
    <w:link w:val="FooterChar"/>
    <w:uiPriority w:val="99"/>
    <w:unhideWhenUsed/>
    <w:rsid w:val="0076770C"/>
    <w:pPr>
      <w:tabs>
        <w:tab w:val="center" w:pos="4680"/>
        <w:tab w:val="right" w:pos="9360"/>
      </w:tabs>
      <w:spacing w:line="240" w:lineRule="auto"/>
    </w:pPr>
  </w:style>
  <w:style w:type="character" w:customStyle="1" w:styleId="FooterChar">
    <w:name w:val="Footer Char"/>
    <w:basedOn w:val="DefaultParagraphFont"/>
    <w:link w:val="Footer"/>
    <w:uiPriority w:val="99"/>
    <w:rsid w:val="00767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Cristina Williams</cp:lastModifiedBy>
  <cp:revision>3</cp:revision>
  <dcterms:created xsi:type="dcterms:W3CDTF">2024-06-12T23:41:00Z</dcterms:created>
  <dcterms:modified xsi:type="dcterms:W3CDTF">2024-06-12T23:42:00Z</dcterms:modified>
</cp:coreProperties>
</file>